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DB0E" w14:textId="77777777" w:rsidR="00335AE9" w:rsidRDefault="00A522D3">
      <w:pPr>
        <w:pStyle w:val="afe"/>
        <w:spacing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36"/>
          <w:szCs w:val="36"/>
        </w:rPr>
        <w:t>ПАМЯТКА</w:t>
      </w:r>
    </w:p>
    <w:p w14:paraId="56DD8A04" w14:textId="77777777" w:rsidR="00335AE9" w:rsidRDefault="00A522D3">
      <w:pPr>
        <w:pStyle w:val="afe"/>
        <w:spacing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36"/>
          <w:szCs w:val="36"/>
        </w:rPr>
        <w:t xml:space="preserve">ПО ПРОФИЛАКТИКЕ ЯЩУРА </w:t>
      </w:r>
    </w:p>
    <w:p w14:paraId="0C04A4CE" w14:textId="77777777" w:rsidR="00335AE9" w:rsidRDefault="00335AE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14:paraId="29333526" w14:textId="77777777" w:rsidR="00335AE9" w:rsidRDefault="00A522D3">
      <w:pPr>
        <w:pStyle w:val="afe"/>
        <w:spacing w:beforeAutospacing="0" w:after="0" w:afterAutospacing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  <w:t>В соответствии с Приказом МСХ РФ №157 от 24 марта 2</w:t>
      </w:r>
      <w:r>
        <w:rPr>
          <w:b/>
          <w:bCs/>
          <w:color w:val="000000"/>
          <w:sz w:val="20"/>
          <w:szCs w:val="20"/>
        </w:rPr>
        <w:t>021 года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ящура»:</w:t>
      </w:r>
    </w:p>
    <w:p w14:paraId="2C8AC321" w14:textId="77777777" w:rsidR="00335AE9" w:rsidRDefault="00335AE9">
      <w:pPr>
        <w:spacing w:after="89" w:line="240" w:lineRule="auto"/>
        <w:rPr>
          <w:rFonts w:ascii="Times New Roman" w:eastAsia="Times New Roman" w:hAnsi="Times New Roman" w:cs="Times New Roman"/>
          <w:sz w:val="6"/>
          <w:szCs w:val="27"/>
          <w:lang w:eastAsia="ru-RU"/>
        </w:rPr>
      </w:pPr>
    </w:p>
    <w:p w14:paraId="626C9809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Ящур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Aphthae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epizooticae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) – острое вирусное заболевание из группы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антропозоонозов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(инфекционных болезней животных, которыми болеет также и человек), характеризующаяся главным образом афтозными поражениями слизистых оболочек, выстланных многослойным эпит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елием (преимущественно ротовой полости), бесшёрстных участков кожи. Иногда болеет и человек. Смертельность среди молодняка 80–100%, взрослых животных при злокачественной форме 40–90% наносит большой экономический ущерб. Множественность типов и подтипов вир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уса ящура сильно затрудняет борьбу с ним.</w:t>
      </w:r>
    </w:p>
    <w:p w14:paraId="7B11834F" w14:textId="77777777" w:rsidR="00335AE9" w:rsidRDefault="00A522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Характеристика возбудителя</w:t>
      </w:r>
    </w:p>
    <w:p w14:paraId="69E75912" w14:textId="77777777" w:rsidR="00335AE9" w:rsidRDefault="00335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27"/>
          <w:lang w:eastAsia="ru-RU"/>
        </w:rPr>
      </w:pPr>
    </w:p>
    <w:p w14:paraId="6B50EC9D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Возбудитель ящура – вирус, относящийся к роду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Aphthovirus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семейства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Picornaviridae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характеризуется выраженной множественностью антигенных свойств. Установлено 7 серотипов (О, А, С, SAT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1, SAT 2, SAT 3, Asia 1) и более 60 подтипов (вариантов) вируса.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Переболевание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животных ящуром, вызванное вирусом одного какого-либо типа, не создаёт иммунитета против остальных типов. Вирус ящура устойчив во внешней среде, особенно в высушенном состоянии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при сухом воздухе, отсутствии света, при пониженной температуре. Так, при относительной влажности 30–40% и температуре 18°C высушенный вирус сохраняет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инфекционность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в течение двух лет.</w:t>
      </w:r>
    </w:p>
    <w:p w14:paraId="1A924484" w14:textId="77777777" w:rsidR="00335AE9" w:rsidRDefault="00335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7"/>
          <w:lang w:eastAsia="ru-RU"/>
        </w:rPr>
      </w:pPr>
    </w:p>
    <w:p w14:paraId="785B2AA1" w14:textId="77777777" w:rsidR="00335AE9" w:rsidRDefault="00A522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Течение и симптомы</w:t>
      </w:r>
    </w:p>
    <w:p w14:paraId="5C7F68E9" w14:textId="77777777" w:rsidR="00335AE9" w:rsidRDefault="00335A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2"/>
          <w:szCs w:val="27"/>
          <w:lang w:eastAsia="ru-RU"/>
        </w:rPr>
      </w:pPr>
    </w:p>
    <w:p w14:paraId="1EE88764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Инкубационный период 1–7 суток, в редких случаях три недели. Течение болезни острое. Различают доброкачественные и злокачественные формы ящура. При доброкачественной форме у животных повышается температура, на 2–3-е сутки после начала лихорадки на слизисто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й оболочке ротовой полости образуются пузыри (афты), заполненные вначале прозрачной, затем мутноватой жидкостью. Образование афт в полости рта сопровождается сильным слюнотечением, развитие афт на конечностях вызывает нарушение походки, хромоту, появление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панарициев, залёживание животных. Афты лопаются через 1– 3 суток, и на их месте образуются эрозии, которые в течение нескольких суток вновь покрываются эпителием. Выздоровление наступает через 3–4 недели.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лактирующих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животных резко понижается молочная пр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одуктивность. Беременные животные часто абортируют. У новорождённых афты не образуются, характерны геморрагический гастроэнтерит и миокардит. При злокачественной форме преобладают нарушения функций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сердечнососудистой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системы и скелетной мускулатуры (пульс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120–140 ударов, мышечная дрожь, клонические судороги). Животные погибают на 7–14-е сутки болезни от паралича миокарда. На течение болезни большое влияние оказывают различные стрессовые воздействия, сопутствующие болезни и др.</w:t>
      </w:r>
    </w:p>
    <w:p w14:paraId="599ECB83" w14:textId="77777777" w:rsidR="00335AE9" w:rsidRDefault="00A522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4"/>
          <w:szCs w:val="27"/>
          <w:lang w:eastAsia="ru-RU"/>
        </w:rPr>
        <w:drawing>
          <wp:anchor distT="0" distB="0" distL="114300" distR="114300" simplePos="0" relativeHeight="2" behindDoc="0" locked="0" layoutInCell="0" allowOverlap="1" wp14:anchorId="381DCF59" wp14:editId="6AA8529C">
            <wp:simplePos x="0" y="0"/>
            <wp:positionH relativeFrom="margin">
              <wp:posOffset>192405</wp:posOffset>
            </wp:positionH>
            <wp:positionV relativeFrom="paragraph">
              <wp:posOffset>265430</wp:posOffset>
            </wp:positionV>
            <wp:extent cx="6362700" cy="2438400"/>
            <wp:effectExtent l="0" t="0" r="0" b="0"/>
            <wp:wrapSquare wrapText="bothSides"/>
            <wp:docPr id="1" name="Рисунок 3" descr="Ящур. Пути передачи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Ящур. Пути передачи - презентация онлайн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36270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F245AB" w14:textId="77777777" w:rsidR="00335AE9" w:rsidRDefault="00A522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lastRenderedPageBreak/>
        <w:br/>
        <w:t>Опасность заражения человек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а</w:t>
      </w:r>
    </w:p>
    <w:p w14:paraId="58678C3C" w14:textId="77777777" w:rsidR="00335AE9" w:rsidRDefault="00335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7"/>
          <w:lang w:eastAsia="ru-RU"/>
        </w:rPr>
      </w:pPr>
    </w:p>
    <w:p w14:paraId="177BAED8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Основной путь инфицирования людей – через сырое молоко больных животных и продукты его переработки, реже через мясо. У лиц, непосредственно контактирующих с больными животными, возможна прямая передача инфекции (при доении, уходе, лечении, убое), воздуш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 Симптомы – головная боль, лихорадка, затем появлен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ие афт, болей в мышцах. Выздоровление наступает обычно на 10–15-е сутки болезни. Возможны осложнения – бронхопневмония, гастроэнтерит и др. </w:t>
      </w:r>
    </w:p>
    <w:p w14:paraId="7EEF4E29" w14:textId="77777777" w:rsidR="00335AE9" w:rsidRDefault="00335A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</w:p>
    <w:p w14:paraId="3D9675DA" w14:textId="77777777" w:rsidR="00335AE9" w:rsidRDefault="00A522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Основные мероприятия по профилактике ящура</w:t>
      </w:r>
    </w:p>
    <w:p w14:paraId="503408E2" w14:textId="77777777" w:rsidR="00335AE9" w:rsidRDefault="00335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7"/>
          <w:lang w:eastAsia="ru-RU"/>
        </w:rPr>
      </w:pPr>
    </w:p>
    <w:p w14:paraId="77459406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 Исключить доступ на территорию хозяйства (предприятия) лиц, не связанных с обслуживанием животных;</w:t>
      </w:r>
    </w:p>
    <w:p w14:paraId="434CA6C9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 Исключить доступ на территорию хозяйства (предприятия) бродячих собак и диких животных, а также других видов животных, не свойственных данному хозяйств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у;</w:t>
      </w:r>
    </w:p>
    <w:p w14:paraId="6EA7498E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Обеспечить проведение регулярной дезинфекции и дератизации животноводческих помещений;</w:t>
      </w:r>
    </w:p>
    <w:p w14:paraId="22BDB2F1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Не допускать ввоза (ввода) животных в хозяйство (предприятие) без ведома государственной ветеринарной службы района;</w:t>
      </w:r>
    </w:p>
    <w:p w14:paraId="62867FD2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 Запретить использование кормов, не имеющих подтверждение их безопасности в ветеринарно-санитарном отношении;</w:t>
      </w:r>
    </w:p>
    <w:p w14:paraId="5CE284F0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6. Исключить въезд транспорта, не связанного с обслуживанием хозяйства (предприятия) на территорию хозяйства (предприятия). Обеспечить дезинфекц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ию колес всего транспорта, въезжающего на территорию хозяйства (предприятия);</w:t>
      </w:r>
    </w:p>
    <w:p w14:paraId="7912C95F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7. Обеспечить наличие дезинфекционных ковриков (ванн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дезраствором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кюветов и т.п.) при входах в производственные помещения, для санитарной обработки обуви;</w:t>
      </w:r>
    </w:p>
    <w:p w14:paraId="60C427B6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 Запретить бесконт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рольный выгул и пастьбу животных. Не осуществлять пастьбу в непосредственной близости от федеральных трасс и железнодорожных путей, железнодорожных вокзалов и аэропортов;</w:t>
      </w:r>
    </w:p>
    <w:p w14:paraId="60346807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9. Соблюдать зоогигиенические и ветеринарные требования при перевозках, содержании, к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ормлении животных. Покупку, продажу, сдачу на убой, выгон, размещение на пастбище и все другие перемещения и перегруппировки животных, реализацию животноводческой продукции проводить только с ведома и разрешения государственной ветеринарной службы;</w:t>
      </w:r>
    </w:p>
    <w:p w14:paraId="5587B87F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10. Пок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упку, продажу и перевозку животных осуществлять при обязательном наличии ветеринарных сопроводительных документов;  </w:t>
      </w:r>
    </w:p>
    <w:p w14:paraId="52BDC5D0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11. Лицам, обслуживающим животных, строго соблюдать правила личной гигиены;</w:t>
      </w:r>
    </w:p>
    <w:p w14:paraId="555AA90F" w14:textId="77777777" w:rsidR="00335AE9" w:rsidRDefault="00A522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12. Информировать государственную ветеринарную службу обо всех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случаях заболевания животных схожих с признаками ящура (угнетенное состояние животного, снижение продуктивности, обильное слюнотечение, появление пузырьков наполненных жидкостью и эрозий на носовом зеркале,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межкопытной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щели, языке, вымени);</w:t>
      </w:r>
    </w:p>
    <w:p w14:paraId="12147EE4" w14:textId="77777777" w:rsidR="00335AE9" w:rsidRDefault="00A522D3">
      <w:pPr>
        <w:spacing w:after="0" w:line="15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7"/>
        </w:rPr>
        <w:t>13. Предоставля</w:t>
      </w:r>
      <w:r>
        <w:rPr>
          <w:rFonts w:ascii="Times New Roman" w:eastAsia="Calibri" w:hAnsi="Times New Roman" w:cs="Times New Roman"/>
          <w:color w:val="000000"/>
          <w:sz w:val="24"/>
          <w:szCs w:val="27"/>
        </w:rPr>
        <w:t>ть животных ветеринарным специалистам государственных ветеринарных учреждений для проведения плановых исследований, обработок и клинических осмотров.</w:t>
      </w:r>
    </w:p>
    <w:p w14:paraId="3754AD85" w14:textId="77777777" w:rsidR="00335AE9" w:rsidRDefault="00A522D3">
      <w:pPr>
        <w:spacing w:after="0" w:line="240" w:lineRule="auto"/>
        <w:rPr>
          <w:rFonts w:ascii="Times New Roman" w:eastAsia="Calibri" w:hAnsi="Times New Roman" w:cs="Times New Roman"/>
          <w:sz w:val="24"/>
          <w:szCs w:val="27"/>
        </w:rPr>
      </w:pPr>
      <w:r>
        <w:rPr>
          <w:rFonts w:ascii="Times New Roman" w:eastAsia="Calibri" w:hAnsi="Times New Roman" w:cs="Times New Roman"/>
          <w:sz w:val="24"/>
          <w:szCs w:val="27"/>
        </w:rPr>
        <w:t xml:space="preserve"> </w:t>
      </w:r>
    </w:p>
    <w:p w14:paraId="4691A61A" w14:textId="77777777" w:rsidR="00335AE9" w:rsidRDefault="00A522D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вопросам профилактики и борьбы с ящуром обращаться к ветеринарным специалистам ГБУ «СББЖ №6» по адрес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ам: </w:t>
      </w:r>
    </w:p>
    <w:p w14:paraId="5C9E04AB" w14:textId="77777777" w:rsidR="00335AE9" w:rsidRDefault="00335AE9">
      <w:pPr>
        <w:shd w:val="clear" w:color="auto" w:fill="FFFFFF" w:themeFill="background1"/>
        <w:spacing w:before="75" w:after="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Hlk221117257"/>
    </w:p>
    <w:p w14:paraId="3525EA11" w14:textId="77777777" w:rsidR="00335AE9" w:rsidRDefault="00A522D3">
      <w:pPr>
        <w:pBdr>
          <w:top w:val="single" w:sz="4" w:space="0" w:color="000000"/>
        </w:pBdr>
        <w:jc w:val="center"/>
        <w:rPr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Сахалинская область, г. Оха, ул. Советская, 2Г;</w:t>
      </w:r>
    </w:p>
    <w:p w14:paraId="0A914EC4" w14:textId="77777777" w:rsidR="00335AE9" w:rsidRPr="00DE656D" w:rsidRDefault="00A522D3">
      <w:pPr>
        <w:pBdr>
          <w:top w:val="single" w:sz="4" w:space="0" w:color="000000"/>
        </w:pBdr>
        <w:jc w:val="center"/>
        <w:rPr>
          <w:sz w:val="30"/>
          <w:szCs w:val="30"/>
          <w:lang w:val="en-US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тел</w:t>
      </w:r>
      <w:r w:rsidRPr="00DE656D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 xml:space="preserve">. 8(42437) 3-39-88; </w:t>
      </w:r>
      <w:r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E</w:t>
      </w:r>
      <w:r w:rsidRPr="00DE656D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-</w:t>
      </w:r>
      <w:r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mail</w:t>
      </w:r>
      <w:r w:rsidRPr="00DE656D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 xml:space="preserve">: </w:t>
      </w:r>
      <w:bookmarkEnd w:id="0"/>
      <w:r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vet.okha@sakhalin.gov.ru</w:t>
      </w:r>
    </w:p>
    <w:p w14:paraId="03877EB6" w14:textId="77777777" w:rsidR="00335AE9" w:rsidRDefault="00A522D3">
      <w:pPr>
        <w:pBdr>
          <w:top w:val="single" w:sz="4" w:space="0" w:color="000000"/>
        </w:pBdr>
        <w:jc w:val="center"/>
        <w:rPr>
          <w:sz w:val="30"/>
          <w:szCs w:val="30"/>
        </w:rPr>
      </w:pPr>
      <w:r w:rsidRPr="00DE656D">
        <w:rPr>
          <w:rFonts w:ascii="Times New Roman" w:hAnsi="Times New Roman"/>
          <w:b/>
          <w:sz w:val="30"/>
          <w:szCs w:val="30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Сахалинская область, пгт. Ноглики, ул. Физкультурная, 10;</w:t>
      </w:r>
    </w:p>
    <w:p w14:paraId="0014C6DD" w14:textId="6FD5DE17" w:rsidR="00335AE9" w:rsidRPr="00DE656D" w:rsidRDefault="00A522D3">
      <w:pPr>
        <w:pBdr>
          <w:top w:val="single" w:sz="4" w:space="0" w:color="000000"/>
        </w:pBdr>
        <w:jc w:val="center"/>
        <w:rPr>
          <w:b/>
          <w:bCs/>
          <w:sz w:val="30"/>
          <w:szCs w:val="30"/>
        </w:rPr>
      </w:pPr>
      <w:bookmarkStart w:id="1" w:name="_Hlk221121109"/>
      <w:r w:rsidRPr="00DE65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тел. 8(42444) 9-12-08; </w:t>
      </w:r>
      <w:bookmarkEnd w:id="1"/>
      <w:r w:rsidR="00DE656D" w:rsidRPr="00DE656D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E</w:t>
      </w:r>
      <w:r w:rsidR="00DE656D" w:rsidRPr="00DE656D">
        <w:rPr>
          <w:rFonts w:ascii="Times New Roman" w:eastAsia="Times New Roman" w:hAnsi="Times New Roman"/>
          <w:b/>
          <w:sz w:val="32"/>
          <w:szCs w:val="32"/>
          <w:lang w:eastAsia="ru-RU"/>
        </w:rPr>
        <w:t>-</w:t>
      </w:r>
      <w:r w:rsidR="00DE656D" w:rsidRPr="00DE656D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mail</w:t>
      </w:r>
      <w:r w:rsidR="00DE656D" w:rsidRPr="00DE656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: </w:t>
      </w:r>
      <w:proofErr w:type="spellStart"/>
      <w:r w:rsidR="00DE656D" w:rsidRPr="00DE656D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vetnogliki</w:t>
      </w:r>
      <w:proofErr w:type="spellEnd"/>
      <w:r w:rsidR="00DE656D" w:rsidRPr="00DE656D">
        <w:rPr>
          <w:rFonts w:ascii="Times New Roman" w:eastAsia="Times New Roman" w:hAnsi="Times New Roman"/>
          <w:b/>
          <w:sz w:val="32"/>
          <w:szCs w:val="32"/>
          <w:lang w:eastAsia="ru-RU"/>
        </w:rPr>
        <w:t>@</w:t>
      </w:r>
      <w:r w:rsidR="00DE656D" w:rsidRPr="00DE656D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mail</w:t>
      </w:r>
      <w:r w:rsidR="00DE656D" w:rsidRPr="00DE656D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proofErr w:type="spellStart"/>
      <w:r w:rsidR="00DE656D" w:rsidRPr="00DE656D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ru</w:t>
      </w:r>
      <w:proofErr w:type="spellEnd"/>
    </w:p>
    <w:sectPr w:rsidR="00335AE9" w:rsidRPr="00DE656D">
      <w:pgSz w:w="11906" w:h="16838"/>
      <w:pgMar w:top="567" w:right="567" w:bottom="567" w:left="567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BBCB" w14:textId="77777777" w:rsidR="00A522D3" w:rsidRDefault="00A522D3">
      <w:pPr>
        <w:spacing w:after="0" w:line="240" w:lineRule="auto"/>
      </w:pPr>
      <w:r>
        <w:separator/>
      </w:r>
    </w:p>
  </w:endnote>
  <w:endnote w:type="continuationSeparator" w:id="0">
    <w:p w14:paraId="73044A15" w14:textId="77777777" w:rsidR="00A522D3" w:rsidRDefault="00A5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auto"/>
    <w:pitch w:val="default"/>
  </w:font>
  <w:font w:name="Droid Sans">
    <w:altName w:val="Segoe U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D980" w14:textId="77777777" w:rsidR="00A522D3" w:rsidRDefault="00A522D3">
      <w:pPr>
        <w:spacing w:after="0" w:line="240" w:lineRule="auto"/>
      </w:pPr>
      <w:r>
        <w:separator/>
      </w:r>
    </w:p>
  </w:footnote>
  <w:footnote w:type="continuationSeparator" w:id="0">
    <w:p w14:paraId="79867F6F" w14:textId="77777777" w:rsidR="00A522D3" w:rsidRDefault="00A52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AE9"/>
    <w:rsid w:val="00335AE9"/>
    <w:rsid w:val="00A522D3"/>
    <w:rsid w:val="00D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80B7"/>
  <w15:docId w15:val="{6350A3D4-81EE-496F-8F68-922DA1B4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b">
    <w:name w:val="List"/>
    <w:basedOn w:val="a6"/>
    <w:rPr>
      <w:rFonts w:cs="Droid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SPBSBG-2</dc:creator>
  <dc:description/>
  <cp:lastModifiedBy>Пользователь</cp:lastModifiedBy>
  <cp:revision>10</cp:revision>
  <dcterms:created xsi:type="dcterms:W3CDTF">2026-01-29T07:52:00Z</dcterms:created>
  <dcterms:modified xsi:type="dcterms:W3CDTF">2026-05-18T04:21:00Z</dcterms:modified>
  <dc:language>ru-RU</dc:language>
</cp:coreProperties>
</file>