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A8" w:rsidRDefault="001F4FA8" w:rsidP="001F4FA8">
      <w:pPr>
        <w:shd w:val="clear" w:color="auto" w:fill="FFFFFF"/>
        <w:spacing w:before="105" w:after="105" w:line="270" w:lineRule="atLeast"/>
        <w:ind w:firstLine="708"/>
        <w:jc w:val="center"/>
        <w:rPr>
          <w:rFonts w:ascii="Times New Roman" w:eastAsia="Times New Roman" w:hAnsi="Times New Roman" w:cs="Times New Roman"/>
          <w:b/>
          <w:sz w:val="24"/>
          <w:szCs w:val="24"/>
          <w:lang w:eastAsia="ru-RU"/>
        </w:rPr>
      </w:pPr>
      <w:r w:rsidRPr="001F4FA8">
        <w:rPr>
          <w:rFonts w:ascii="Times New Roman" w:eastAsia="Times New Roman" w:hAnsi="Times New Roman" w:cs="Times New Roman"/>
          <w:b/>
          <w:sz w:val="24"/>
          <w:szCs w:val="24"/>
          <w:lang w:eastAsia="ru-RU"/>
        </w:rPr>
        <w:t>Перечень индикаторов риска нарушения обязательных требований</w:t>
      </w:r>
      <w:r>
        <w:rPr>
          <w:rFonts w:ascii="Times New Roman" w:eastAsia="Times New Roman" w:hAnsi="Times New Roman" w:cs="Times New Roman"/>
          <w:b/>
          <w:sz w:val="24"/>
          <w:szCs w:val="24"/>
          <w:lang w:eastAsia="ru-RU"/>
        </w:rPr>
        <w:t xml:space="preserve"> при осуществлении </w:t>
      </w:r>
      <w:r w:rsidRPr="001F4FA8">
        <w:rPr>
          <w:rFonts w:ascii="Times New Roman" w:eastAsia="Times New Roman" w:hAnsi="Times New Roman" w:cs="Times New Roman"/>
          <w:b/>
          <w:sz w:val="24"/>
          <w:szCs w:val="24"/>
          <w:lang w:eastAsia="ru-RU"/>
        </w:rPr>
        <w:t>муниципально</w:t>
      </w:r>
      <w:r>
        <w:rPr>
          <w:rFonts w:ascii="Times New Roman" w:eastAsia="Times New Roman" w:hAnsi="Times New Roman" w:cs="Times New Roman"/>
          <w:b/>
          <w:sz w:val="24"/>
          <w:szCs w:val="24"/>
          <w:lang w:eastAsia="ru-RU"/>
        </w:rPr>
        <w:t>го</w:t>
      </w:r>
      <w:r w:rsidRPr="001F4FA8">
        <w:rPr>
          <w:rFonts w:ascii="Times New Roman" w:eastAsia="Times New Roman" w:hAnsi="Times New Roman" w:cs="Times New Roman"/>
          <w:b/>
          <w:sz w:val="24"/>
          <w:szCs w:val="24"/>
          <w:lang w:eastAsia="ru-RU"/>
        </w:rPr>
        <w:t xml:space="preserve"> контрол</w:t>
      </w:r>
      <w:r>
        <w:rPr>
          <w:rFonts w:ascii="Times New Roman" w:eastAsia="Times New Roman" w:hAnsi="Times New Roman" w:cs="Times New Roman"/>
          <w:b/>
          <w:sz w:val="24"/>
          <w:szCs w:val="24"/>
          <w:lang w:eastAsia="ru-RU"/>
        </w:rPr>
        <w:t>я</w:t>
      </w:r>
      <w:r w:rsidRPr="001F4FA8">
        <w:rPr>
          <w:rFonts w:ascii="Times New Roman" w:eastAsia="Times New Roman" w:hAnsi="Times New Roman" w:cs="Times New Roman"/>
          <w:b/>
          <w:sz w:val="24"/>
          <w:szCs w:val="24"/>
          <w:lang w:eastAsia="ru-RU"/>
        </w:rPr>
        <w:t xml:space="preserve"> на автомобильном транспорте, городском наземном электрическом транспорте и в дорожном хозяйстве</w:t>
      </w:r>
    </w:p>
    <w:p w:rsidR="001F4FA8" w:rsidRPr="001F4FA8" w:rsidRDefault="001F4FA8" w:rsidP="001F4FA8">
      <w:pPr>
        <w:shd w:val="clear" w:color="auto" w:fill="FFFFFF"/>
        <w:spacing w:before="105" w:after="105" w:line="270" w:lineRule="atLeast"/>
        <w:ind w:firstLine="708"/>
        <w:jc w:val="center"/>
        <w:rPr>
          <w:rFonts w:ascii="Times New Roman" w:eastAsia="Times New Roman" w:hAnsi="Times New Roman" w:cs="Times New Roman"/>
          <w:b/>
          <w:sz w:val="24"/>
          <w:szCs w:val="24"/>
          <w:lang w:eastAsia="ru-RU"/>
        </w:rPr>
      </w:pPr>
      <w:bookmarkStart w:id="0" w:name="_GoBack"/>
      <w:bookmarkEnd w:id="0"/>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 значительный риск;</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 средний риск;</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 умеренный риск;</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 низкий риск.</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3. Критерии отнесения объектов контроля к категориям риска в рамках осуществления муниципального контроля установлены в Таблице № 1.</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5. Перечень индикаторов риска нарушения обязательных требований, проверяемых в рамках осуществления муниципального контроля, установлен в Таблице № 2.</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6. В случае если объект контроля не отнесен к определенной категории риска, он считается отнесенным к категории низкого риска.</w:t>
      </w:r>
    </w:p>
    <w:p w:rsidR="000E7175" w:rsidRPr="008B314E" w:rsidRDefault="000E7175" w:rsidP="000E7175">
      <w:pPr>
        <w:shd w:val="clear" w:color="auto" w:fill="FFFFFF"/>
        <w:spacing w:before="105" w:after="105" w:line="270" w:lineRule="atLeast"/>
        <w:ind w:firstLine="708"/>
        <w:jc w:val="both"/>
        <w:rPr>
          <w:rFonts w:ascii="Times New Roman" w:eastAsia="Times New Roman" w:hAnsi="Times New Roman" w:cs="Times New Roman"/>
          <w:sz w:val="24"/>
          <w:szCs w:val="24"/>
          <w:lang w:eastAsia="ru-RU"/>
        </w:rPr>
      </w:pPr>
      <w:r w:rsidRPr="008B314E">
        <w:rPr>
          <w:rFonts w:ascii="Times New Roman" w:eastAsia="Times New Roman" w:hAnsi="Times New Roman" w:cs="Times New Roman"/>
          <w:sz w:val="24"/>
          <w:szCs w:val="24"/>
          <w:lang w:eastAsia="ru-RU"/>
        </w:rPr>
        <w:t>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175" w:rsidRPr="008B314E" w:rsidRDefault="000E7175" w:rsidP="000E7175">
      <w:pPr>
        <w:shd w:val="clear" w:color="auto" w:fill="FFFFFF"/>
        <w:spacing w:before="105" w:after="105" w:line="240" w:lineRule="auto"/>
        <w:jc w:val="center"/>
        <w:rPr>
          <w:rFonts w:ascii="Times New Roman" w:eastAsia="Times New Roman" w:hAnsi="Times New Roman" w:cs="Times New Roman"/>
          <w:sz w:val="24"/>
          <w:szCs w:val="24"/>
          <w:lang w:eastAsia="ru-RU"/>
        </w:rPr>
      </w:pPr>
      <w:r w:rsidRPr="008B314E">
        <w:rPr>
          <w:rFonts w:ascii="Times New Roman" w:eastAsia="Times New Roman" w:hAnsi="Times New Roman" w:cs="Times New Roman"/>
          <w:b/>
          <w:bCs/>
          <w:sz w:val="24"/>
          <w:szCs w:val="24"/>
          <w:lang w:eastAsia="ru-RU"/>
        </w:rPr>
        <w:t> </w:t>
      </w:r>
    </w:p>
    <w:p w:rsidR="000E7175" w:rsidRPr="008B314E" w:rsidRDefault="000E7175" w:rsidP="000E7175">
      <w:pPr>
        <w:shd w:val="clear" w:color="auto" w:fill="FFFFFF"/>
        <w:spacing w:before="105" w:after="105" w:line="240" w:lineRule="auto"/>
        <w:jc w:val="right"/>
        <w:rPr>
          <w:rFonts w:ascii="Times New Roman" w:eastAsia="Times New Roman" w:hAnsi="Times New Roman" w:cs="Times New Roman"/>
          <w:sz w:val="24"/>
          <w:szCs w:val="24"/>
          <w:lang w:eastAsia="ru-RU"/>
        </w:rPr>
      </w:pPr>
      <w:r w:rsidRPr="008B314E">
        <w:rPr>
          <w:rFonts w:ascii="Times New Roman" w:eastAsia="Times New Roman" w:hAnsi="Times New Roman" w:cs="Times New Roman"/>
          <w:b/>
          <w:bCs/>
          <w:sz w:val="24"/>
          <w:szCs w:val="24"/>
          <w:lang w:eastAsia="ru-RU"/>
        </w:rPr>
        <w:t>Таблица № 1</w:t>
      </w:r>
    </w:p>
    <w:p w:rsidR="000E7175" w:rsidRPr="008B314E" w:rsidRDefault="000E7175" w:rsidP="000E7175">
      <w:pPr>
        <w:shd w:val="clear" w:color="auto" w:fill="FFFFFF"/>
        <w:spacing w:before="105" w:after="105" w:line="240" w:lineRule="auto"/>
        <w:jc w:val="center"/>
        <w:rPr>
          <w:rFonts w:ascii="Times New Roman" w:eastAsia="Times New Roman" w:hAnsi="Times New Roman" w:cs="Times New Roman"/>
          <w:sz w:val="24"/>
          <w:szCs w:val="24"/>
          <w:lang w:eastAsia="ru-RU"/>
        </w:rPr>
      </w:pPr>
      <w:r w:rsidRPr="008B314E">
        <w:rPr>
          <w:rFonts w:ascii="Times New Roman" w:eastAsia="Times New Roman" w:hAnsi="Times New Roman" w:cs="Times New Roman"/>
          <w:b/>
          <w:bCs/>
          <w:sz w:val="24"/>
          <w:szCs w:val="24"/>
          <w:lang w:eastAsia="ru-RU"/>
        </w:rPr>
        <w:t> </w:t>
      </w:r>
    </w:p>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КРИТЕРИИ</w:t>
      </w:r>
    </w:p>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ОТНЕСЕНИЯ ОБЪЕКТОВ КОНТРОЛЯ К КАТЕГОРИЯМ РИСКА В РАМКАХ</w:t>
      </w:r>
    </w:p>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ОСУЩЕСТВЛЕНИЯ МУНИЦИПАЛЬНОГО КОНТРОЛЯ НА АВТОМОБИЛЬНОМ</w:t>
      </w:r>
    </w:p>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ТРАНСПОРТЕ, ГОРОДСКОМ НАЗЕМНОМ ЭЛЕКТРИЧЕСКОМ ТРАНСПОРТЕ</w:t>
      </w:r>
    </w:p>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И В ДОРОЖНОМ ХОЗЯЙСТВЕ В ГРАНИЦАХ МУНИЦИПАЛЬНОГО ОБРАЗОВАНИЯ</w:t>
      </w:r>
    </w:p>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НОГЛИКСКИЙ МУНИЦИПАЛЬНЫЙ ОКРУГ САХАЛИНСКОЙ ОБЛАСТИ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6576"/>
        <w:gridCol w:w="1927"/>
      </w:tblGrid>
      <w:tr w:rsidR="001F4FA8" w:rsidRPr="001F4FA8">
        <w:tc>
          <w:tcPr>
            <w:tcW w:w="56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lastRenderedPageBreak/>
              <w:t>N п/п</w:t>
            </w:r>
          </w:p>
        </w:tc>
        <w:tc>
          <w:tcPr>
            <w:tcW w:w="657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Объекты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Ногликский муниципальный округ Сахалинской области</w:t>
            </w:r>
          </w:p>
        </w:tc>
        <w:tc>
          <w:tcPr>
            <w:tcW w:w="1927"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Категория риска</w:t>
            </w:r>
          </w:p>
        </w:tc>
      </w:tr>
      <w:tr w:rsidR="001F4FA8" w:rsidRPr="001F4FA8">
        <w:tc>
          <w:tcPr>
            <w:tcW w:w="56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bookmarkStart w:id="1" w:name="Par13"/>
            <w:bookmarkEnd w:id="1"/>
            <w:r w:rsidRPr="001F4FA8">
              <w:rPr>
                <w:rFonts w:ascii="Times New Roman" w:eastAsia="Times New Roman" w:hAnsi="Times New Roman" w:cs="Times New Roman"/>
                <w:b/>
                <w:bCs/>
                <w:sz w:val="24"/>
                <w:szCs w:val="24"/>
                <w:lang w:eastAsia="ru-RU"/>
              </w:rPr>
              <w:t>1.</w:t>
            </w:r>
          </w:p>
        </w:tc>
        <w:tc>
          <w:tcPr>
            <w:tcW w:w="657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1927"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Значительный риск</w:t>
            </w:r>
          </w:p>
        </w:tc>
      </w:tr>
      <w:tr w:rsidR="001F4FA8" w:rsidRPr="001F4FA8">
        <w:tc>
          <w:tcPr>
            <w:tcW w:w="56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bookmarkStart w:id="2" w:name="Par16"/>
            <w:bookmarkEnd w:id="2"/>
            <w:r w:rsidRPr="001F4FA8">
              <w:rPr>
                <w:rFonts w:ascii="Times New Roman" w:eastAsia="Times New Roman" w:hAnsi="Times New Roman" w:cs="Times New Roman"/>
                <w:b/>
                <w:bCs/>
                <w:sz w:val="24"/>
                <w:szCs w:val="24"/>
                <w:lang w:eastAsia="ru-RU"/>
              </w:rPr>
              <w:t>2.</w:t>
            </w:r>
          </w:p>
        </w:tc>
        <w:tc>
          <w:tcPr>
            <w:tcW w:w="657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1927"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Умеренный риск</w:t>
            </w:r>
          </w:p>
        </w:tc>
      </w:tr>
      <w:tr w:rsidR="001F4FA8" w:rsidRPr="001F4FA8">
        <w:tc>
          <w:tcPr>
            <w:tcW w:w="56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3.</w:t>
            </w:r>
          </w:p>
        </w:tc>
        <w:tc>
          <w:tcPr>
            <w:tcW w:w="6576"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 xml:space="preserve">Юридические лица, индивидуальные предприниматели и физические лица при отсутствии обстоятельств, указанных в </w:t>
            </w:r>
            <w:hyperlink w:anchor="Par13" w:history="1">
              <w:r w:rsidRPr="001F4FA8">
                <w:rPr>
                  <w:rStyle w:val="a3"/>
                  <w:rFonts w:ascii="Times New Roman" w:eastAsia="Times New Roman" w:hAnsi="Times New Roman" w:cs="Times New Roman"/>
                  <w:b/>
                  <w:bCs/>
                  <w:sz w:val="24"/>
                  <w:szCs w:val="24"/>
                  <w:lang w:eastAsia="ru-RU"/>
                </w:rPr>
                <w:t>пунктах 1</w:t>
              </w:r>
            </w:hyperlink>
            <w:r w:rsidRPr="001F4FA8">
              <w:rPr>
                <w:rFonts w:ascii="Times New Roman" w:eastAsia="Times New Roman" w:hAnsi="Times New Roman" w:cs="Times New Roman"/>
                <w:b/>
                <w:bCs/>
                <w:sz w:val="24"/>
                <w:szCs w:val="24"/>
                <w:lang w:eastAsia="ru-RU"/>
              </w:rPr>
              <w:t xml:space="preserve">, </w:t>
            </w:r>
            <w:hyperlink w:anchor="Par16" w:history="1">
              <w:r w:rsidRPr="001F4FA8">
                <w:rPr>
                  <w:rStyle w:val="a3"/>
                  <w:rFonts w:ascii="Times New Roman" w:eastAsia="Times New Roman" w:hAnsi="Times New Roman" w:cs="Times New Roman"/>
                  <w:b/>
                  <w:bCs/>
                  <w:sz w:val="24"/>
                  <w:szCs w:val="24"/>
                  <w:lang w:eastAsia="ru-RU"/>
                </w:rPr>
                <w:t>2</w:t>
              </w:r>
            </w:hyperlink>
            <w:r w:rsidRPr="001F4FA8">
              <w:rPr>
                <w:rFonts w:ascii="Times New Roman" w:eastAsia="Times New Roman" w:hAnsi="Times New Roman" w:cs="Times New Roman"/>
                <w:b/>
                <w:bCs/>
                <w:sz w:val="24"/>
                <w:szCs w:val="24"/>
                <w:lang w:eastAsia="ru-RU"/>
              </w:rPr>
              <w:t xml:space="preserve"> настоящих Критериев отнесения деятельности юридических лиц и индивидуальных предпринимателей к категориям риска</w:t>
            </w:r>
          </w:p>
        </w:tc>
        <w:tc>
          <w:tcPr>
            <w:tcW w:w="1927" w:type="dxa"/>
            <w:tcBorders>
              <w:top w:val="single" w:sz="4" w:space="0" w:color="auto"/>
              <w:left w:val="single" w:sz="4" w:space="0" w:color="auto"/>
              <w:bottom w:val="single" w:sz="4" w:space="0" w:color="auto"/>
              <w:right w:val="single" w:sz="4" w:space="0" w:color="auto"/>
            </w:tcBorders>
          </w:tcPr>
          <w:p w:rsidR="001F4FA8" w:rsidRPr="001F4FA8" w:rsidRDefault="001F4FA8" w:rsidP="001F4FA8">
            <w:pPr>
              <w:shd w:val="clear" w:color="auto" w:fill="FFFFFF"/>
              <w:spacing w:before="105" w:after="105" w:line="240" w:lineRule="auto"/>
              <w:jc w:val="center"/>
              <w:rPr>
                <w:rFonts w:ascii="Times New Roman" w:eastAsia="Times New Roman" w:hAnsi="Times New Roman" w:cs="Times New Roman"/>
                <w:b/>
                <w:bCs/>
                <w:sz w:val="24"/>
                <w:szCs w:val="24"/>
                <w:lang w:eastAsia="ru-RU"/>
              </w:rPr>
            </w:pPr>
            <w:r w:rsidRPr="001F4FA8">
              <w:rPr>
                <w:rFonts w:ascii="Times New Roman" w:eastAsia="Times New Roman" w:hAnsi="Times New Roman" w:cs="Times New Roman"/>
                <w:b/>
                <w:bCs/>
                <w:sz w:val="24"/>
                <w:szCs w:val="24"/>
                <w:lang w:eastAsia="ru-RU"/>
              </w:rPr>
              <w:t>Низкий риск</w:t>
            </w:r>
          </w:p>
        </w:tc>
      </w:tr>
    </w:tbl>
    <w:p w:rsidR="003715CF" w:rsidRPr="000E7175" w:rsidRDefault="003715CF" w:rsidP="001F4FA8">
      <w:pPr>
        <w:shd w:val="clear" w:color="auto" w:fill="FFFFFF"/>
        <w:spacing w:before="105" w:after="105" w:line="240" w:lineRule="auto"/>
        <w:jc w:val="center"/>
      </w:pPr>
    </w:p>
    <w:sectPr w:rsidR="003715CF" w:rsidRPr="000E7175" w:rsidSect="00702CE3">
      <w:type w:val="continuous"/>
      <w:pgSz w:w="11906" w:h="16838"/>
      <w:pgMar w:top="1135" w:right="709" w:bottom="851" w:left="1701" w:header="720"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91"/>
    <w:rsid w:val="000E7175"/>
    <w:rsid w:val="001F4FA8"/>
    <w:rsid w:val="003715CF"/>
    <w:rsid w:val="00702CE3"/>
    <w:rsid w:val="008D6706"/>
    <w:rsid w:val="00982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BFB80-DD33-4D0B-97AD-EE6EB368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1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4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628</Words>
  <Characters>3585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Потанина</dc:creator>
  <cp:keywords/>
  <dc:description/>
  <cp:lastModifiedBy>Роман А. Кривенко</cp:lastModifiedBy>
  <cp:revision>4</cp:revision>
  <dcterms:created xsi:type="dcterms:W3CDTF">2026-06-20T10:32:00Z</dcterms:created>
  <dcterms:modified xsi:type="dcterms:W3CDTF">2026-06-21T23:26:00Z</dcterms:modified>
</cp:coreProperties>
</file>